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6A7" w:rsidRDefault="00B276A7" w:rsidP="00B276A7">
      <w:pPr>
        <w:rPr>
          <w:rFonts w:asciiTheme="minorHAnsi" w:hAnsiTheme="minorHAnsi"/>
          <w:b/>
          <w:color w:val="002060"/>
          <w:sz w:val="26"/>
          <w:szCs w:val="26"/>
        </w:rPr>
      </w:pPr>
      <w:r>
        <w:rPr>
          <w:rFonts w:asciiTheme="minorHAnsi" w:hAnsiTheme="minorHAnsi"/>
          <w:b/>
          <w:color w:val="002060"/>
          <w:sz w:val="26"/>
          <w:szCs w:val="26"/>
        </w:rPr>
        <w:t>Miegunyah 20</w:t>
      </w:r>
      <w:r w:rsidR="003B1864">
        <w:rPr>
          <w:rFonts w:asciiTheme="minorHAnsi" w:hAnsiTheme="minorHAnsi"/>
          <w:b/>
          <w:color w:val="002060"/>
          <w:sz w:val="26"/>
          <w:szCs w:val="26"/>
        </w:rPr>
        <w:t>20</w:t>
      </w:r>
      <w:r w:rsidR="002223E7">
        <w:rPr>
          <w:rFonts w:asciiTheme="minorHAnsi" w:hAnsiTheme="minorHAnsi"/>
          <w:b/>
          <w:color w:val="002060"/>
          <w:sz w:val="26"/>
          <w:szCs w:val="26"/>
        </w:rPr>
        <w:t xml:space="preserve"> –</w:t>
      </w:r>
      <w:r w:rsidRPr="00531805">
        <w:rPr>
          <w:rFonts w:asciiTheme="minorHAnsi" w:hAnsiTheme="minorHAnsi"/>
          <w:b/>
          <w:color w:val="002060"/>
          <w:sz w:val="26"/>
          <w:szCs w:val="26"/>
        </w:rPr>
        <w:t xml:space="preserve"> </w:t>
      </w:r>
      <w:r w:rsidR="002223E7">
        <w:rPr>
          <w:rFonts w:asciiTheme="minorHAnsi" w:hAnsiTheme="minorHAnsi"/>
          <w:b/>
          <w:color w:val="002060"/>
          <w:sz w:val="26"/>
          <w:szCs w:val="26"/>
        </w:rPr>
        <w:t>Budget Template</w:t>
      </w:r>
    </w:p>
    <w:p w:rsidR="00B276A7" w:rsidRPr="007258FB" w:rsidRDefault="00B276A7" w:rsidP="00B276A7">
      <w:pPr>
        <w:rPr>
          <w:rFonts w:ascii="Calibri" w:hAnsi="Calibri"/>
          <w:snapToGrid w:val="0"/>
          <w:sz w:val="21"/>
          <w:szCs w:val="21"/>
        </w:rPr>
      </w:pPr>
    </w:p>
    <w:p w:rsidR="00B276A7" w:rsidRPr="007258FB" w:rsidRDefault="00B276A7" w:rsidP="00B276A7">
      <w:pPr>
        <w:rPr>
          <w:rFonts w:ascii="Calibri" w:hAnsi="Calibri"/>
          <w:snapToGrid w:val="0"/>
          <w:sz w:val="21"/>
          <w:szCs w:val="21"/>
        </w:rPr>
      </w:pPr>
      <w:r w:rsidRPr="007258FB">
        <w:rPr>
          <w:rFonts w:ascii="Calibri" w:hAnsi="Calibri"/>
          <w:snapToGrid w:val="0"/>
          <w:sz w:val="21"/>
          <w:szCs w:val="21"/>
        </w:rPr>
        <w:t xml:space="preserve">The value of the award will depend on the proposed length of stay, the cost of the airfare and associated expenses. The value of each award made will be </w:t>
      </w:r>
      <w:r w:rsidRPr="007258FB">
        <w:rPr>
          <w:rFonts w:ascii="Calibri" w:hAnsi="Calibri"/>
          <w:b/>
          <w:snapToGrid w:val="0"/>
          <w:sz w:val="21"/>
          <w:szCs w:val="21"/>
        </w:rPr>
        <w:t xml:space="preserve">up to </w:t>
      </w:r>
      <w:r w:rsidRPr="007258FB">
        <w:rPr>
          <w:rFonts w:ascii="Calibri" w:hAnsi="Calibri"/>
          <w:snapToGrid w:val="0"/>
          <w:sz w:val="21"/>
          <w:szCs w:val="21"/>
        </w:rPr>
        <w:t>$20,000</w:t>
      </w:r>
      <w:r w:rsidR="006F1371">
        <w:rPr>
          <w:rFonts w:ascii="Calibri" w:hAnsi="Calibri"/>
          <w:snapToGrid w:val="0"/>
          <w:sz w:val="21"/>
          <w:szCs w:val="21"/>
        </w:rPr>
        <w:t>;</w:t>
      </w:r>
      <w:r w:rsidRPr="007258FB">
        <w:rPr>
          <w:rFonts w:ascii="Calibri" w:hAnsi="Calibri"/>
          <w:snapToGrid w:val="0"/>
          <w:sz w:val="21"/>
          <w:szCs w:val="21"/>
        </w:rPr>
        <w:t xml:space="preserve"> the committee may not fund the full amount requested</w:t>
      </w:r>
      <w:r>
        <w:rPr>
          <w:rFonts w:ascii="Calibri" w:hAnsi="Calibri"/>
          <w:snapToGrid w:val="0"/>
          <w:sz w:val="21"/>
          <w:szCs w:val="21"/>
        </w:rPr>
        <w:t>, and</w:t>
      </w:r>
      <w:r w:rsidRPr="007258FB">
        <w:rPr>
          <w:rFonts w:ascii="Calibri" w:hAnsi="Calibri"/>
          <w:snapToGrid w:val="0"/>
          <w:sz w:val="21"/>
          <w:szCs w:val="21"/>
        </w:rPr>
        <w:t xml:space="preserve"> </w:t>
      </w:r>
      <w:r>
        <w:rPr>
          <w:rFonts w:ascii="Calibri" w:hAnsi="Calibri"/>
          <w:snapToGrid w:val="0"/>
          <w:sz w:val="21"/>
          <w:szCs w:val="21"/>
        </w:rPr>
        <w:t>p</w:t>
      </w:r>
      <w:r w:rsidRPr="007258FB">
        <w:rPr>
          <w:rFonts w:ascii="Calibri" w:hAnsi="Calibri"/>
          <w:snapToGrid w:val="0"/>
          <w:sz w:val="21"/>
          <w:szCs w:val="21"/>
        </w:rPr>
        <w:t xml:space="preserve">rudent budgets will be viewed favourably by the committee. </w:t>
      </w:r>
    </w:p>
    <w:p w:rsidR="00B276A7" w:rsidRPr="007258FB" w:rsidRDefault="00B276A7" w:rsidP="00B276A7">
      <w:pPr>
        <w:rPr>
          <w:rFonts w:ascii="Calibri" w:hAnsi="Calibri"/>
          <w:smallCaps/>
          <w:sz w:val="21"/>
          <w:szCs w:val="21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3890"/>
        <w:gridCol w:w="1278"/>
        <w:gridCol w:w="3842"/>
      </w:tblGrid>
      <w:tr w:rsidR="00B276A7" w:rsidRPr="007258FB" w:rsidTr="00A24048">
        <w:trPr>
          <w:trHeight w:val="549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napToGrid w:val="0"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napToGrid w:val="0"/>
                <w:sz w:val="21"/>
                <w:szCs w:val="21"/>
              </w:rPr>
              <w:t>Item</w:t>
            </w:r>
          </w:p>
        </w:tc>
        <w:tc>
          <w:tcPr>
            <w:tcW w:w="70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napToGrid w:val="0"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napToGrid w:val="0"/>
                <w:sz w:val="21"/>
                <w:szCs w:val="21"/>
              </w:rPr>
              <w:t>Amount</w:t>
            </w:r>
          </w:p>
        </w:tc>
        <w:tc>
          <w:tcPr>
            <w:tcW w:w="2132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napToGrid w:val="0"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napToGrid w:val="0"/>
                <w:sz w:val="21"/>
                <w:szCs w:val="21"/>
              </w:rPr>
              <w:t>Comment</w:t>
            </w:r>
          </w:p>
        </w:tc>
        <w:bookmarkStart w:id="0" w:name="_GoBack"/>
        <w:bookmarkEnd w:id="0"/>
      </w:tr>
      <w:tr w:rsidR="00B276A7" w:rsidRPr="007258FB" w:rsidTr="00A24048">
        <w:tblPrEx>
          <w:shd w:val="clear" w:color="auto" w:fill="auto"/>
        </w:tblPrEx>
        <w:trPr>
          <w:trHeight w:val="1261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z w:val="21"/>
                <w:szCs w:val="21"/>
              </w:rPr>
              <w:t>Airfare</w:t>
            </w:r>
            <w:r>
              <w:rPr>
                <w:rFonts w:ascii="Calibri" w:hAnsi="Calibri"/>
                <w:b/>
                <w:sz w:val="21"/>
                <w:szCs w:val="21"/>
              </w:rPr>
              <w:t>s</w:t>
            </w:r>
          </w:p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sz w:val="21"/>
                <w:szCs w:val="21"/>
              </w:rPr>
              <w:t>Business class airfares are not compulsory, and economy class airfares are encouraged, with the proposed Fellow’s approval.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1289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z w:val="21"/>
                <w:szCs w:val="21"/>
              </w:rPr>
              <w:t>Accommodation</w:t>
            </w:r>
          </w:p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sz w:val="21"/>
                <w:szCs w:val="21"/>
              </w:rPr>
              <w:t>It is strongly recommended that Fellows stay at</w:t>
            </w:r>
            <w:r w:rsidR="00AB258A">
              <w:rPr>
                <w:rFonts w:ascii="Calibri" w:hAnsi="Calibri"/>
                <w:sz w:val="21"/>
                <w:szCs w:val="21"/>
              </w:rPr>
              <w:t xml:space="preserve"> the</w:t>
            </w:r>
            <w:r w:rsidRPr="007258FB">
              <w:rPr>
                <w:rFonts w:ascii="Calibri" w:hAnsi="Calibri"/>
                <w:sz w:val="21"/>
                <w:szCs w:val="21"/>
              </w:rPr>
              <w:t xml:space="preserve"> </w:t>
            </w:r>
            <w:hyperlink r:id="rId4" w:history="1">
              <w:r w:rsidR="00AB258A" w:rsidRPr="00AB258A">
                <w:rPr>
                  <w:rStyle w:val="Hyperlink"/>
                  <w:rFonts w:ascii="Calibri" w:hAnsi="Calibri"/>
                  <w:sz w:val="21"/>
                  <w:szCs w:val="21"/>
                </w:rPr>
                <w:t>R</w:t>
              </w:r>
              <w:r w:rsidRPr="00AB258A">
                <w:rPr>
                  <w:rStyle w:val="Hyperlink"/>
                  <w:rFonts w:ascii="Calibri" w:hAnsi="Calibri"/>
                  <w:sz w:val="21"/>
                  <w:szCs w:val="21"/>
                </w:rPr>
                <w:t xml:space="preserve">esidential </w:t>
              </w:r>
              <w:r w:rsidR="00AB258A" w:rsidRPr="00AB258A">
                <w:rPr>
                  <w:rStyle w:val="Hyperlink"/>
                  <w:rFonts w:ascii="Calibri" w:hAnsi="Calibri"/>
                  <w:sz w:val="21"/>
                  <w:szCs w:val="21"/>
                </w:rPr>
                <w:t>C</w:t>
              </w:r>
              <w:r w:rsidRPr="00AB258A">
                <w:rPr>
                  <w:rStyle w:val="Hyperlink"/>
                  <w:rFonts w:ascii="Calibri" w:hAnsi="Calibri"/>
                  <w:sz w:val="21"/>
                  <w:szCs w:val="21"/>
                </w:rPr>
                <w:t>olleges</w:t>
              </w:r>
            </w:hyperlink>
            <w:r w:rsidRPr="007258FB">
              <w:rPr>
                <w:rFonts w:ascii="Calibri" w:hAnsi="Calibri"/>
                <w:sz w:val="21"/>
                <w:szCs w:val="21"/>
              </w:rPr>
              <w:t xml:space="preserve"> rather than</w:t>
            </w:r>
            <w:r>
              <w:rPr>
                <w:rFonts w:ascii="Calibri" w:hAnsi="Calibri"/>
                <w:sz w:val="21"/>
                <w:szCs w:val="21"/>
              </w:rPr>
              <w:t xml:space="preserve"> hotel accommodation.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492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i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z w:val="21"/>
                <w:szCs w:val="21"/>
              </w:rPr>
              <w:t>Dinner</w:t>
            </w:r>
            <w:r>
              <w:rPr>
                <w:rFonts w:ascii="Calibri" w:hAnsi="Calibri"/>
                <w:b/>
                <w:sz w:val="21"/>
                <w:szCs w:val="21"/>
              </w:rPr>
              <w:t>/</w:t>
            </w:r>
            <w:r w:rsidR="001C7B88">
              <w:rPr>
                <w:rFonts w:ascii="Calibri" w:hAnsi="Calibri"/>
                <w:b/>
                <w:sz w:val="21"/>
                <w:szCs w:val="21"/>
              </w:rPr>
              <w:t>R</w:t>
            </w:r>
            <w:r w:rsidRPr="007258FB">
              <w:rPr>
                <w:rFonts w:ascii="Calibri" w:hAnsi="Calibri"/>
                <w:b/>
                <w:sz w:val="21"/>
                <w:szCs w:val="21"/>
              </w:rPr>
              <w:t>eception</w:t>
            </w:r>
            <w:r w:rsidRPr="007258FB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7258FB">
              <w:rPr>
                <w:rFonts w:ascii="Calibri" w:hAnsi="Calibri"/>
                <w:i/>
                <w:sz w:val="21"/>
                <w:szCs w:val="21"/>
              </w:rPr>
              <w:t>(reserved from grant)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sz w:val="21"/>
                <w:szCs w:val="21"/>
              </w:rPr>
              <w:t>$2,500</w:t>
            </w: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492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i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z w:val="21"/>
                <w:szCs w:val="21"/>
              </w:rPr>
              <w:t>Publicity</w:t>
            </w:r>
            <w:r w:rsidRPr="007258FB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7258FB">
              <w:rPr>
                <w:rFonts w:ascii="Calibri" w:hAnsi="Calibri"/>
                <w:i/>
                <w:sz w:val="21"/>
                <w:szCs w:val="21"/>
              </w:rPr>
              <w:t>(reserved from grant)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sz w:val="21"/>
                <w:szCs w:val="21"/>
              </w:rPr>
              <w:t>$1,500</w:t>
            </w: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1555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i/>
                <w:sz w:val="21"/>
                <w:szCs w:val="21"/>
              </w:rPr>
            </w:pPr>
            <w:bookmarkStart w:id="1" w:name="OLE_LINK1"/>
            <w:bookmarkStart w:id="2" w:name="OLE_LINK2"/>
            <w:r w:rsidRPr="007258FB">
              <w:rPr>
                <w:rFonts w:ascii="Calibri" w:hAnsi="Calibri"/>
                <w:b/>
                <w:sz w:val="21"/>
                <w:szCs w:val="21"/>
              </w:rPr>
              <w:t>Visitor payments</w:t>
            </w:r>
            <w:r w:rsidRPr="007258FB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7258FB">
              <w:rPr>
                <w:rFonts w:ascii="Calibri" w:hAnsi="Calibri"/>
                <w:i/>
                <w:sz w:val="21"/>
                <w:szCs w:val="21"/>
              </w:rPr>
              <w:t>(if applicable)</w:t>
            </w:r>
            <w:bookmarkEnd w:id="1"/>
            <w:bookmarkEnd w:id="2"/>
          </w:p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sz w:val="21"/>
                <w:szCs w:val="21"/>
              </w:rPr>
              <w:t xml:space="preserve">There are </w:t>
            </w:r>
            <w:proofErr w:type="gramStart"/>
            <w:r w:rsidRPr="007258FB">
              <w:rPr>
                <w:rFonts w:ascii="Calibri" w:hAnsi="Calibri"/>
                <w:sz w:val="21"/>
                <w:szCs w:val="21"/>
              </w:rPr>
              <w:t>a number of</w:t>
            </w:r>
            <w:proofErr w:type="gramEnd"/>
            <w:r w:rsidRPr="007258FB">
              <w:rPr>
                <w:rFonts w:ascii="Calibri" w:hAnsi="Calibri"/>
                <w:sz w:val="21"/>
                <w:szCs w:val="21"/>
              </w:rPr>
              <w:t xml:space="preserve"> restrictions on payments of allowances to visitors. Further information may be found on </w:t>
            </w:r>
            <w:hyperlink r:id="rId5" w:history="1">
              <w:r w:rsidR="00D15F91" w:rsidRPr="00D15F91">
                <w:rPr>
                  <w:rStyle w:val="Hyperlink"/>
                  <w:rFonts w:ascii="Calibri" w:hAnsi="Calibri"/>
                  <w:sz w:val="21"/>
                  <w:szCs w:val="21"/>
                </w:rPr>
                <w:t>Staff Hub</w:t>
              </w:r>
            </w:hyperlink>
            <w:r w:rsidR="00D15F91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521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  <w:r w:rsidRPr="007258FB">
              <w:rPr>
                <w:rFonts w:ascii="Calibri" w:hAnsi="Calibri"/>
                <w:b/>
                <w:sz w:val="21"/>
                <w:szCs w:val="21"/>
              </w:rPr>
              <w:t>Associated expenses</w:t>
            </w:r>
            <w:r w:rsidRPr="007258FB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7258FB">
              <w:rPr>
                <w:rFonts w:ascii="Calibri" w:hAnsi="Calibri"/>
                <w:i/>
                <w:sz w:val="21"/>
                <w:szCs w:val="21"/>
              </w:rPr>
              <w:t>(if applicable)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527"/>
        </w:trPr>
        <w:tc>
          <w:tcPr>
            <w:tcW w:w="2159" w:type="pct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ind w:right="-108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Total</w:t>
            </w:r>
          </w:p>
        </w:tc>
        <w:tc>
          <w:tcPr>
            <w:tcW w:w="709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132" w:type="pct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B276A7" w:rsidRPr="007258FB" w:rsidTr="00A24048">
        <w:tblPrEx>
          <w:shd w:val="clear" w:color="auto" w:fill="auto"/>
        </w:tblPrEx>
        <w:trPr>
          <w:trHeight w:val="527"/>
        </w:trPr>
        <w:tc>
          <w:tcPr>
            <w:tcW w:w="5000" w:type="pct"/>
            <w:gridSpan w:val="3"/>
            <w:shd w:val="clear" w:color="auto" w:fill="D9E2F3" w:themeFill="accent1" w:themeFillTint="3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N</w:t>
            </w:r>
            <w:r w:rsidRPr="007258FB">
              <w:rPr>
                <w:rFonts w:ascii="Calibri" w:hAnsi="Calibri"/>
                <w:b/>
                <w:sz w:val="21"/>
                <w:szCs w:val="21"/>
              </w:rPr>
              <w:t>otes or justification of budget (if applicable)</w:t>
            </w:r>
          </w:p>
        </w:tc>
      </w:tr>
      <w:tr w:rsidR="00B276A7" w:rsidRPr="007258FB" w:rsidTr="00A24048">
        <w:tblPrEx>
          <w:shd w:val="clear" w:color="auto" w:fill="auto"/>
        </w:tblPrEx>
        <w:trPr>
          <w:trHeight w:val="3761"/>
        </w:trPr>
        <w:tc>
          <w:tcPr>
            <w:tcW w:w="5000" w:type="pct"/>
            <w:gridSpan w:val="3"/>
            <w:vAlign w:val="center"/>
          </w:tcPr>
          <w:p w:rsidR="00B276A7" w:rsidRPr="007258FB" w:rsidRDefault="00B276A7" w:rsidP="00CF6572">
            <w:pPr>
              <w:rPr>
                <w:rFonts w:ascii="Calibri" w:hAnsi="Calibri"/>
                <w:sz w:val="21"/>
                <w:szCs w:val="21"/>
              </w:rPr>
            </w:pPr>
          </w:p>
        </w:tc>
      </w:tr>
    </w:tbl>
    <w:p w:rsidR="00B276A7" w:rsidRPr="007258FB" w:rsidRDefault="00B276A7" w:rsidP="00B276A7">
      <w:pPr>
        <w:rPr>
          <w:rFonts w:ascii="Calibri" w:hAnsi="Calibri"/>
          <w:smallCaps/>
          <w:sz w:val="21"/>
          <w:szCs w:val="21"/>
        </w:rPr>
      </w:pPr>
    </w:p>
    <w:sectPr w:rsidR="00B276A7" w:rsidRPr="007258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A7"/>
    <w:rsid w:val="001C7B88"/>
    <w:rsid w:val="002223E7"/>
    <w:rsid w:val="003B1864"/>
    <w:rsid w:val="006F1371"/>
    <w:rsid w:val="00A24048"/>
    <w:rsid w:val="00AB258A"/>
    <w:rsid w:val="00B276A7"/>
    <w:rsid w:val="00CF6572"/>
    <w:rsid w:val="00D1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7C856"/>
  <w15:chartTrackingRefBased/>
  <w15:docId w15:val="{55A5B72F-4828-4A90-BAC0-CEC45CC1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7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276A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5F9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F9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aff.unimelb.edu.au/finance-purchasing-travel/accounting-and-taxation/visitors/visitor-travel-allowance" TargetMode="External"/><Relationship Id="rId4" Type="http://schemas.openxmlformats.org/officeDocument/2006/relationships/hyperlink" Target="http://www.colleges.unimelb.edu.au/about/casual-accommoda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Byers</dc:creator>
  <cp:keywords/>
  <dc:description/>
  <cp:lastModifiedBy>Illy Paumolevuka</cp:lastModifiedBy>
  <cp:revision>9</cp:revision>
  <dcterms:created xsi:type="dcterms:W3CDTF">2018-03-14T04:47:00Z</dcterms:created>
  <dcterms:modified xsi:type="dcterms:W3CDTF">2019-05-20T07:21:00Z</dcterms:modified>
</cp:coreProperties>
</file>